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b w:val="0"/>
          <w:sz w:val="32"/>
          <w:szCs w:val="32"/>
        </w:rPr>
      </w:pPr>
      <w:r>
        <w:rPr>
          <w:rFonts w:ascii="Times New Roman" w:hAnsi="Times New Roman" w:eastAsia="黑体"/>
          <w:b w:val="0"/>
          <w:sz w:val="32"/>
          <w:szCs w:val="32"/>
        </w:rPr>
        <w:t>附件</w:t>
      </w:r>
      <w:r>
        <w:rPr>
          <w:rFonts w:hint="eastAsia" w:ascii="Times New Roman" w:hAnsi="Times New Roman" w:eastAsia="黑体"/>
          <w:b w:val="0"/>
          <w:sz w:val="32"/>
          <w:szCs w:val="32"/>
          <w:lang w:val="en-US" w:eastAsia="zh-CN"/>
        </w:rPr>
        <w:t>5</w:t>
      </w:r>
      <w:r>
        <w:rPr>
          <w:rFonts w:ascii="Times New Roman" w:hAnsi="Times New Roman" w:eastAsia="黑体"/>
          <w:b w:val="0"/>
          <w:sz w:val="32"/>
          <w:szCs w:val="32"/>
        </w:rPr>
        <w:t>：</w:t>
      </w:r>
      <w:r>
        <w:rPr>
          <w:rFonts w:hint="eastAsia"/>
          <w:sz w:val="32"/>
          <w:szCs w:val="32"/>
          <w:lang w:eastAsia="zh-CN"/>
        </w:rPr>
        <w:t>中期检查</w:t>
      </w:r>
      <w:r>
        <w:rPr>
          <w:rFonts w:hint="eastAsia"/>
          <w:sz w:val="32"/>
          <w:szCs w:val="32"/>
        </w:rPr>
        <w:t>项目清单</w:t>
      </w:r>
    </w:p>
    <w:tbl>
      <w:tblPr>
        <w:tblStyle w:val="4"/>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2447"/>
        <w:gridCol w:w="5820"/>
        <w:gridCol w:w="1440"/>
        <w:gridCol w:w="1620"/>
        <w:gridCol w:w="91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黑体"/>
                <w:b w:val="0"/>
                <w:sz w:val="24"/>
                <w:szCs w:val="24"/>
              </w:rPr>
            </w:pPr>
            <w:r>
              <w:rPr>
                <w:rFonts w:ascii="Times New Roman" w:hAnsi="Times New Roman" w:eastAsia="黑体"/>
                <w:b w:val="0"/>
                <w:sz w:val="24"/>
                <w:szCs w:val="24"/>
              </w:rPr>
              <w:t>序号</w:t>
            </w:r>
          </w:p>
        </w:tc>
        <w:tc>
          <w:tcPr>
            <w:tcW w:w="2447"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黑体"/>
                <w:b w:val="0"/>
                <w:sz w:val="24"/>
                <w:szCs w:val="24"/>
              </w:rPr>
            </w:pPr>
            <w:r>
              <w:rPr>
                <w:rFonts w:hint="eastAsia" w:ascii="Times New Roman" w:hAnsi="Times New Roman" w:eastAsia="黑体"/>
                <w:b w:val="0"/>
                <w:sz w:val="24"/>
                <w:szCs w:val="24"/>
              </w:rPr>
              <w:t>所在单位</w:t>
            </w:r>
            <w:bookmarkStart w:id="0" w:name="_GoBack"/>
            <w:bookmarkEnd w:id="0"/>
          </w:p>
        </w:tc>
        <w:tc>
          <w:tcPr>
            <w:tcW w:w="5820"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黑体"/>
                <w:b w:val="0"/>
                <w:sz w:val="24"/>
                <w:szCs w:val="24"/>
              </w:rPr>
            </w:pPr>
            <w:r>
              <w:rPr>
                <w:rFonts w:ascii="Times New Roman" w:hAnsi="Times New Roman" w:eastAsia="黑体"/>
                <w:b w:val="0"/>
                <w:sz w:val="24"/>
                <w:szCs w:val="24"/>
              </w:rPr>
              <w:t>项目名称</w:t>
            </w:r>
          </w:p>
        </w:tc>
        <w:tc>
          <w:tcPr>
            <w:tcW w:w="1440"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黑体"/>
                <w:b w:val="0"/>
                <w:sz w:val="24"/>
                <w:szCs w:val="24"/>
                <w:lang w:val="en-US" w:eastAsia="zh-CN"/>
              </w:rPr>
            </w:pPr>
            <w:r>
              <w:rPr>
                <w:rFonts w:hint="eastAsia" w:ascii="Times New Roman" w:hAnsi="Times New Roman" w:eastAsia="黑体"/>
                <w:b w:val="0"/>
                <w:sz w:val="24"/>
                <w:szCs w:val="24"/>
                <w:lang w:eastAsia="zh-CN"/>
              </w:rPr>
              <w:t>项目</w:t>
            </w:r>
            <w:r>
              <w:rPr>
                <w:rFonts w:hint="eastAsia" w:ascii="Times New Roman" w:hAnsi="Times New Roman" w:eastAsia="黑体"/>
                <w:b w:val="0"/>
                <w:sz w:val="24"/>
                <w:szCs w:val="24"/>
              </w:rPr>
              <w:t>负责</w:t>
            </w:r>
            <w:r>
              <w:rPr>
                <w:rFonts w:ascii="Times New Roman" w:hAnsi="Times New Roman" w:eastAsia="黑体"/>
                <w:b w:val="0"/>
                <w:sz w:val="24"/>
                <w:szCs w:val="24"/>
              </w:rPr>
              <w:t>人</w:t>
            </w:r>
          </w:p>
        </w:tc>
        <w:tc>
          <w:tcPr>
            <w:tcW w:w="1620"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黑体"/>
                <w:b w:val="0"/>
                <w:sz w:val="24"/>
                <w:szCs w:val="24"/>
              </w:rPr>
            </w:pPr>
            <w:r>
              <w:rPr>
                <w:rFonts w:hint="eastAsia" w:ascii="Times New Roman" w:hAnsi="Times New Roman" w:eastAsia="黑体"/>
                <w:b w:val="0"/>
                <w:sz w:val="24"/>
                <w:szCs w:val="24"/>
                <w:lang w:val="en-US" w:eastAsia="zh-CN"/>
              </w:rPr>
              <w:t>项目编号</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黑体"/>
                <w:b w:val="0"/>
                <w:sz w:val="24"/>
                <w:szCs w:val="24"/>
              </w:rPr>
            </w:pPr>
            <w:r>
              <w:rPr>
                <w:rFonts w:ascii="Times New Roman" w:hAnsi="Times New Roman" w:eastAsia="黑体"/>
                <w:b w:val="0"/>
                <w:sz w:val="24"/>
                <w:szCs w:val="24"/>
              </w:rPr>
              <w:t>类别</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黑体"/>
                <w:b w:val="0"/>
                <w:sz w:val="24"/>
                <w:szCs w:val="24"/>
              </w:rPr>
            </w:pPr>
            <w:r>
              <w:rPr>
                <w:rFonts w:hint="eastAsia" w:ascii="Times New Roman" w:hAnsi="Times New Roman" w:eastAsia="黑体"/>
                <w:b w:val="0"/>
                <w:sz w:val="24"/>
                <w:szCs w:val="24"/>
              </w:rPr>
              <w:t>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1</w:t>
            </w:r>
          </w:p>
        </w:tc>
        <w:tc>
          <w:tcPr>
            <w:tcW w:w="2447" w:type="dxa"/>
            <w:noWrap w:val="0"/>
            <w:vAlign w:val="center"/>
          </w:tcPr>
          <w:p>
            <w:pPr>
              <w:spacing w:line="240" w:lineRule="auto"/>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sz w:val="24"/>
                <w:szCs w:val="24"/>
                <w:lang w:val="en-US" w:eastAsia="zh-CN"/>
              </w:rPr>
              <w:t>环境科学与工程学院</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应用型本科院校实验、实训教学模式改革的探索与实践——以建筑环境与能源应用工程专业为例</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胡志培</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TJGB-01</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w:t>
            </w:r>
          </w:p>
        </w:tc>
        <w:tc>
          <w:tcPr>
            <w:tcW w:w="2447" w:type="dxa"/>
            <w:noWrap w:val="0"/>
            <w:vAlign w:val="center"/>
          </w:tcPr>
          <w:p>
            <w:pPr>
              <w:spacing w:line="240" w:lineRule="auto"/>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sz w:val="24"/>
                <w:szCs w:val="24"/>
                <w:lang w:val="en-US" w:eastAsia="zh-CN"/>
              </w:rPr>
              <w:t>环境科学与工程学院</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综合性设计性实验课程改革探索——以《水污染控制工程综合实验》为例</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刘文如</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2</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3</w:t>
            </w:r>
          </w:p>
        </w:tc>
        <w:tc>
          <w:tcPr>
            <w:tcW w:w="2447" w:type="dxa"/>
            <w:noWrap w:val="0"/>
            <w:vAlign w:val="center"/>
          </w:tcPr>
          <w:p>
            <w:pPr>
              <w:spacing w:line="240" w:lineRule="auto"/>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sz w:val="24"/>
                <w:szCs w:val="24"/>
                <w:lang w:val="en-US" w:eastAsia="zh-CN"/>
              </w:rPr>
              <w:t>环境科学与工程学院</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给排水科学与工程专业课程思政导师育人体系的构建与研究</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孙雯</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3</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4</w:t>
            </w:r>
          </w:p>
        </w:tc>
        <w:tc>
          <w:tcPr>
            <w:tcW w:w="2447" w:type="dxa"/>
            <w:noWrap w:val="0"/>
            <w:vAlign w:val="center"/>
          </w:tcPr>
          <w:p>
            <w:pPr>
              <w:spacing w:line="240" w:lineRule="auto"/>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sz w:val="24"/>
                <w:szCs w:val="24"/>
                <w:lang w:val="en-US" w:eastAsia="zh-CN"/>
              </w:rPr>
              <w:t>环境科学与工程学院</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新工科背景下应用型本科院校提升应用化学人才跨学科工程能力的研究与实践</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刘垚</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4</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5</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语言文化学院</w:t>
            </w:r>
          </w:p>
        </w:tc>
        <w:tc>
          <w:tcPr>
            <w:tcW w:w="5820" w:type="dxa"/>
            <w:noWrap w:val="0"/>
            <w:vAlign w:val="center"/>
          </w:tcPr>
          <w:p>
            <w:pPr>
              <w:spacing w:line="240" w:lineRule="auto"/>
              <w:jc w:val="left"/>
              <w:rPr>
                <w:rFonts w:hint="default"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大学英语“课程思政”与通识教育新业态的探索性研究</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曹顺娣</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5</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6</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语言文化学院</w:t>
            </w:r>
          </w:p>
        </w:tc>
        <w:tc>
          <w:tcPr>
            <w:tcW w:w="5820" w:type="dxa"/>
            <w:noWrap w:val="0"/>
            <w:vAlign w:val="center"/>
          </w:tcPr>
          <w:p>
            <w:pPr>
              <w:spacing w:line="240" w:lineRule="auto"/>
              <w:jc w:val="left"/>
              <w:rPr>
                <w:rFonts w:hint="default"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应用型本科院校日语一流专业实验、实训教学模式改革的探索与实践</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李韬瑾</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6</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7</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艺术学院</w:t>
            </w:r>
          </w:p>
        </w:tc>
        <w:tc>
          <w:tcPr>
            <w:tcW w:w="5820" w:type="dxa"/>
            <w:noWrap w:val="0"/>
            <w:vAlign w:val="center"/>
          </w:tcPr>
          <w:p>
            <w:pPr>
              <w:spacing w:line="240" w:lineRule="auto"/>
              <w:jc w:val="left"/>
              <w:rPr>
                <w:rFonts w:hint="default"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《形式构成基础》课程的教学改革探索</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孙春涛</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7</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8</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公共教学部</w:t>
            </w:r>
          </w:p>
        </w:tc>
        <w:tc>
          <w:tcPr>
            <w:tcW w:w="5820" w:type="dxa"/>
            <w:noWrap w:val="0"/>
            <w:vAlign w:val="center"/>
          </w:tcPr>
          <w:p>
            <w:pPr>
              <w:spacing w:line="240" w:lineRule="auto"/>
              <w:jc w:val="left"/>
              <w:rPr>
                <w:rFonts w:hint="default"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独立学院大学物理课堂教学质量的提升策略研究</w:t>
            </w:r>
          </w:p>
        </w:tc>
        <w:tc>
          <w:tcPr>
            <w:tcW w:w="1440" w:type="dxa"/>
            <w:noWrap w:val="0"/>
            <w:vAlign w:val="center"/>
          </w:tcPr>
          <w:p>
            <w:pPr>
              <w:spacing w:line="240" w:lineRule="auto"/>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李阳/</w:t>
            </w:r>
          </w:p>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毛红敏</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8</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9</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公共教学部</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智慧教学在应用型本科院校物理实验教学中的应用研究</w:t>
            </w:r>
          </w:p>
        </w:tc>
        <w:tc>
          <w:tcPr>
            <w:tcW w:w="1440" w:type="dxa"/>
            <w:noWrap w:val="0"/>
            <w:vAlign w:val="center"/>
          </w:tcPr>
          <w:p>
            <w:pPr>
              <w:spacing w:line="240" w:lineRule="auto"/>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范君柳/</w:t>
            </w:r>
          </w:p>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沙金巧</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TJGB-0</w:t>
            </w:r>
            <w:r>
              <w:rPr>
                <w:rFonts w:hint="eastAsia" w:ascii="Times New Roman" w:hAnsi="Times New Roman"/>
                <w:b w:val="0"/>
                <w:color w:val="auto"/>
                <w:sz w:val="24"/>
                <w:lang w:val="en-US" w:eastAsia="zh-CN"/>
              </w:rPr>
              <w:t>9</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10</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公共教学部</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线上线下混合式教学模式提升思政课程育人效果研究——以《思想道德修养与法律基础》课程为例</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陆晓娟</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w:t>
            </w:r>
            <w:r>
              <w:rPr>
                <w:rFonts w:hint="eastAsia" w:ascii="Times New Roman" w:hAnsi="Times New Roman"/>
                <w:b w:val="0"/>
                <w:color w:val="auto"/>
                <w:sz w:val="24"/>
                <w:lang w:val="en-US" w:eastAsia="zh-CN"/>
              </w:rPr>
              <w:t>10</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11</w:t>
            </w:r>
          </w:p>
        </w:tc>
        <w:tc>
          <w:tcPr>
            <w:tcW w:w="2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教务处</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新时代高校劳动教育实践路径研究</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温芳琴</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w:t>
            </w:r>
            <w:r>
              <w:rPr>
                <w:rFonts w:hint="eastAsia" w:ascii="Times New Roman" w:hAnsi="Times New Roman"/>
                <w:b w:val="0"/>
                <w:color w:val="auto"/>
                <w:sz w:val="24"/>
                <w:lang w:val="en-US" w:eastAsia="zh-CN"/>
              </w:rPr>
              <w:t>1</w:t>
            </w:r>
            <w:r>
              <w:rPr>
                <w:rFonts w:hint="default" w:ascii="Times New Roman" w:hAnsi="Times New Roman"/>
                <w:b w:val="0"/>
                <w:color w:val="auto"/>
                <w:sz w:val="24"/>
                <w:lang w:val="en-US" w:eastAsia="zh-CN"/>
              </w:rPr>
              <w:t>1</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19"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12</w:t>
            </w:r>
          </w:p>
        </w:tc>
        <w:tc>
          <w:tcPr>
            <w:tcW w:w="2447" w:type="dxa"/>
            <w:noWrap w:val="0"/>
            <w:vAlign w:val="center"/>
          </w:tcPr>
          <w:p>
            <w:pPr>
              <w:spacing w:line="240" w:lineRule="auto"/>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教务处</w:t>
            </w:r>
          </w:p>
        </w:tc>
        <w:tc>
          <w:tcPr>
            <w:tcW w:w="5820" w:type="dxa"/>
            <w:noWrap w:val="0"/>
            <w:vAlign w:val="center"/>
          </w:tcPr>
          <w:p>
            <w:pPr>
              <w:spacing w:line="240" w:lineRule="auto"/>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大学生科技创新竞赛活动组织管理模式与实践</w:t>
            </w:r>
          </w:p>
        </w:tc>
        <w:tc>
          <w:tcPr>
            <w:tcW w:w="1440" w:type="dxa"/>
            <w:noWrap w:val="0"/>
            <w:vAlign w:val="center"/>
          </w:tcPr>
          <w:p>
            <w:pPr>
              <w:spacing w:line="24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sz w:val="24"/>
                <w:szCs w:val="24"/>
                <w:lang w:val="en-US" w:eastAsia="zh-CN"/>
              </w:rPr>
              <w:t>吴振华</w:t>
            </w:r>
          </w:p>
        </w:tc>
        <w:tc>
          <w:tcPr>
            <w:tcW w:w="1620" w:type="dxa"/>
            <w:noWrap w:val="0"/>
            <w:vAlign w:val="center"/>
          </w:tcPr>
          <w:p>
            <w:pPr>
              <w:widowControl/>
              <w:wordWrap w:val="0"/>
              <w:spacing w:line="255" w:lineRule="atLeast"/>
              <w:jc w:val="center"/>
              <w:rPr>
                <w:rFonts w:hint="eastAsia" w:ascii="Times New Roman" w:hAnsi="Times New Roman" w:eastAsia="宋体" w:cs="Times New Roman"/>
                <w:b w:val="0"/>
                <w:color w:val="auto"/>
                <w:sz w:val="24"/>
                <w:szCs w:val="52"/>
                <w:lang w:val="en-US" w:eastAsia="zh-CN" w:bidi="ar-SA"/>
              </w:rPr>
            </w:pPr>
            <w:r>
              <w:rPr>
                <w:rFonts w:hint="default" w:ascii="Times New Roman" w:hAnsi="Times New Roman"/>
                <w:b w:val="0"/>
                <w:color w:val="auto"/>
                <w:sz w:val="24"/>
                <w:lang w:val="en-US" w:eastAsia="zh-CN"/>
              </w:rPr>
              <w:t>20</w:t>
            </w:r>
            <w:r>
              <w:rPr>
                <w:rFonts w:hint="eastAsia" w:ascii="Times New Roman" w:hAnsi="Times New Roman"/>
                <w:b w:val="0"/>
                <w:color w:val="auto"/>
                <w:sz w:val="24"/>
                <w:lang w:val="en-US" w:eastAsia="zh-CN"/>
              </w:rPr>
              <w:t>20</w:t>
            </w:r>
            <w:r>
              <w:rPr>
                <w:rFonts w:hint="default" w:ascii="Times New Roman" w:hAnsi="Times New Roman"/>
                <w:b w:val="0"/>
                <w:color w:val="auto"/>
                <w:sz w:val="24"/>
                <w:lang w:val="en-US" w:eastAsia="zh-CN"/>
              </w:rPr>
              <w:t>TJGB-</w:t>
            </w:r>
            <w:r>
              <w:rPr>
                <w:rFonts w:hint="eastAsia" w:ascii="Times New Roman" w:hAnsi="Times New Roman"/>
                <w:b w:val="0"/>
                <w:color w:val="auto"/>
                <w:sz w:val="24"/>
                <w:lang w:val="en-US" w:eastAsia="zh-CN"/>
              </w:rPr>
              <w:t>12</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一般</w:t>
            </w:r>
          </w:p>
        </w:tc>
        <w:tc>
          <w:tcPr>
            <w:tcW w:w="9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b w:val="0"/>
                <w:sz w:val="24"/>
                <w:szCs w:val="24"/>
                <w:lang w:val="en-US" w:eastAsia="zh-CN"/>
              </w:rPr>
            </w:pPr>
            <w:r>
              <w:rPr>
                <w:rFonts w:hint="eastAsia" w:ascii="Times New Roman" w:hAnsi="Times New Roman"/>
                <w:b w:val="0"/>
                <w:sz w:val="24"/>
                <w:szCs w:val="24"/>
                <w:lang w:val="en-US" w:eastAsia="zh-CN"/>
              </w:rPr>
              <w:t>2年</w:t>
            </w:r>
          </w:p>
        </w:tc>
      </w:tr>
    </w:tbl>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p>
    <w:sectPr>
      <w:footerReference r:id="rId3" w:type="default"/>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D78E1"/>
    <w:rsid w:val="1EB0487D"/>
    <w:rsid w:val="4C5F10C7"/>
    <w:rsid w:val="4EA574CE"/>
    <w:rsid w:val="5ACB20D0"/>
    <w:rsid w:val="68BD78E1"/>
    <w:rsid w:val="6D535020"/>
    <w:rsid w:val="7223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color w:val="000000"/>
      <w:sz w:val="52"/>
      <w:szCs w:val="5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default" w:ascii="Times New Roman" w:hAnsi="Times New Roman" w:cs="Times New Roman"/>
      <w:color w:val="000000"/>
      <w:sz w:val="24"/>
      <w:szCs w:val="24"/>
      <w:u w:val="none"/>
    </w:rPr>
  </w:style>
  <w:style w:type="character" w:customStyle="1" w:styleId="7">
    <w:name w:val="font21"/>
    <w:basedOn w:val="5"/>
    <w:qFormat/>
    <w:uiPriority w:val="0"/>
    <w:rPr>
      <w:rFonts w:hint="default" w:ascii="Times New Roman" w:hAnsi="Times New Roman" w:cs="Times New Roman"/>
      <w:color w:val="000000"/>
      <w:sz w:val="24"/>
      <w:szCs w:val="24"/>
      <w:u w:val="none"/>
    </w:rPr>
  </w:style>
  <w:style w:type="character" w:customStyle="1" w:styleId="8">
    <w:name w:val="font4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5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628</Words>
  <Characters>765</Characters>
  <Lines>0</Lines>
  <Paragraphs>0</Paragraphs>
  <TotalTime>1</TotalTime>
  <ScaleCrop>false</ScaleCrop>
  <LinksUpToDate>false</LinksUpToDate>
  <CharactersWithSpaces>766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2018-10-31T09:02:00Z</dcterms:created>
  <dc:creator>柳军</dc:creator>
  <cp:lastModifiedBy>楠楠</cp:lastModifiedBy>
  <dcterms:modified xsi:type="dcterms:W3CDTF">2021-09-24T07:16:34Z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B2AFC8E0851C49F09C9E51ACEF14F51B</vt:lpwstr>
  </property>
</Properties>
</file>